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6DB1E8F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F23AC6">
        <w:rPr>
          <w:rFonts w:eastAsia="Calibri"/>
          <w:color w:val="262626" w:themeColor="text1" w:themeTint="D9"/>
          <w:sz w:val="22"/>
          <w:szCs w:val="22"/>
          <w:lang w:eastAsia="en-US"/>
        </w:rPr>
        <w:t>6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145B287D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F23AC6">
        <w:rPr>
          <w:b/>
          <w:bCs/>
          <w:color w:val="262626" w:themeColor="text1" w:themeTint="D9"/>
          <w:sz w:val="28"/>
          <w:szCs w:val="28"/>
          <w:lang w:eastAsia="en-US"/>
        </w:rPr>
        <w:t>1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F23AC6">
        <w:rPr>
          <w:b/>
          <w:bCs/>
          <w:color w:val="262626" w:themeColor="text1" w:themeTint="D9"/>
          <w:sz w:val="28"/>
          <w:szCs w:val="28"/>
          <w:lang w:eastAsia="en-US"/>
        </w:rPr>
        <w:t>červ</w:t>
      </w:r>
      <w:r w:rsidR="002907C1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4891EAF9" w14:textId="77777777" w:rsidR="00F23AC6" w:rsidRDefault="00F23AC6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F23AC6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Krajské nemocnice Liberec, a.s.</w:t>
      </w:r>
    </w:p>
    <w:p w14:paraId="37CD350E" w14:textId="42BB1E77" w:rsidR="00C42864" w:rsidRDefault="00F23AC6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F23AC6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MMN, a.s.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6941893E" w14:textId="0785C709" w:rsidR="00F23AC6" w:rsidRPr="00AF4E05" w:rsidRDefault="00F23AC6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F23AC6">
        <w:rPr>
          <w:color w:val="262626" w:themeColor="text1" w:themeTint="D9"/>
          <w:sz w:val="22"/>
          <w:szCs w:val="22"/>
          <w:lang w:eastAsia="en-US"/>
        </w:rPr>
        <w:t>Jednání rady kraje v působnosti jediného akcionáře akciové společnosti Nemocnice s</w:t>
      </w:r>
      <w:r w:rsidR="003B238B">
        <w:rPr>
          <w:color w:val="262626" w:themeColor="text1" w:themeTint="D9"/>
          <w:sz w:val="22"/>
          <w:szCs w:val="22"/>
          <w:lang w:eastAsia="en-US"/>
        </w:rPr>
        <w:t> </w:t>
      </w:r>
      <w:r w:rsidRPr="00F23AC6">
        <w:rPr>
          <w:color w:val="262626" w:themeColor="text1" w:themeTint="D9"/>
          <w:sz w:val="22"/>
          <w:szCs w:val="22"/>
          <w:lang w:eastAsia="en-US"/>
        </w:rPr>
        <w:t>poliklinikou Česká Lípa, a. s</w:t>
      </w:r>
      <w:r w:rsidR="000C5229">
        <w:rPr>
          <w:color w:val="262626" w:themeColor="text1" w:themeTint="D9"/>
          <w:sz w:val="22"/>
          <w:szCs w:val="22"/>
          <w:lang w:eastAsia="en-US"/>
        </w:rPr>
        <w:t xml:space="preserve">. </w:t>
      </w:r>
    </w:p>
    <w:p w14:paraId="3D29B8AE" w14:textId="4B6EB71F" w:rsidR="00AF4E05" w:rsidRPr="00AF4E05" w:rsidRDefault="00AF4E05" w:rsidP="00AF4E05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F23AC6">
        <w:rPr>
          <w:iCs/>
          <w:color w:val="262626" w:themeColor="text1" w:themeTint="D9"/>
          <w:sz w:val="22"/>
          <w:szCs w:val="22"/>
          <w:lang w:eastAsia="en-US"/>
        </w:rPr>
        <w:t>Zpráva o ukončení realizace projektů „Modernizace hlavní budovy Severočeského muzea v Liberci – 3. etapa“, „Rekonstrukce a přístavba výjezdové základny ZZS LK v Liberci na</w:t>
      </w:r>
      <w:r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F23AC6">
        <w:rPr>
          <w:iCs/>
          <w:color w:val="262626" w:themeColor="text1" w:themeTint="D9"/>
          <w:sz w:val="22"/>
          <w:szCs w:val="22"/>
          <w:lang w:eastAsia="en-US"/>
        </w:rPr>
        <w:t>letišti“, „Silnice II/290 Sklenařice – Vysoké nad Jizerou“, „Silnice II/270 Doksy – Dubá“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57E9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47E0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5</cp:revision>
  <cp:lastPrinted>2023-04-05T14:21:00Z</cp:lastPrinted>
  <dcterms:created xsi:type="dcterms:W3CDTF">2023-06-12T12:23:00Z</dcterms:created>
  <dcterms:modified xsi:type="dcterms:W3CDTF">2023-06-13T05:11:00Z</dcterms:modified>
</cp:coreProperties>
</file>